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5C21D3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715242" w:rsidP="00154A9C">
      <w:pPr>
        <w:spacing w:after="0"/>
        <w:rPr>
          <w:b/>
          <w:u w:val="single"/>
        </w:rPr>
      </w:pPr>
      <w:bookmarkStart w:id="0" w:name="_GoBack"/>
      <w:r>
        <w:rPr>
          <w:b/>
          <w:u w:val="single"/>
        </w:rPr>
        <w:t>Jeff Stacey</w:t>
      </w:r>
      <w:r w:rsidR="00022DF3">
        <w:rPr>
          <w:b/>
          <w:u w:val="single"/>
        </w:rPr>
        <w:t xml:space="preserve">, </w:t>
      </w:r>
      <w:r>
        <w:rPr>
          <w:b/>
          <w:u w:val="single"/>
        </w:rPr>
        <w:t>Stacey Muirhead Capital – Global Value Investing</w:t>
      </w:r>
    </w:p>
    <w:bookmarkEnd w:id="0"/>
    <w:p w:rsidR="00B4443C" w:rsidRDefault="00715242" w:rsidP="00715242">
      <w:pPr>
        <w:spacing w:after="0"/>
        <w:rPr>
          <w:rFonts w:cstheme="minorHAnsi"/>
          <w:i/>
          <w:color w:val="333333"/>
        </w:rPr>
      </w:pPr>
      <w:r>
        <w:rPr>
          <w:i/>
        </w:rPr>
        <w:t>Jeff</w:t>
      </w:r>
      <w:r w:rsidR="00022DF3">
        <w:rPr>
          <w:i/>
        </w:rPr>
        <w:t xml:space="preserve"> is the Founder and</w:t>
      </w:r>
      <w:r>
        <w:rPr>
          <w:i/>
        </w:rPr>
        <w:t xml:space="preserve"> Portfolio Manager for Stacey Muirhead</w:t>
      </w:r>
      <w:r w:rsidR="00C373AC" w:rsidRPr="00C373AC">
        <w:rPr>
          <w:rFonts w:cstheme="minorHAnsi"/>
          <w:i/>
        </w:rPr>
        <w:t>.</w:t>
      </w:r>
    </w:p>
    <w:p w:rsidR="00715242" w:rsidRPr="00715242" w:rsidRDefault="00715242" w:rsidP="00715242">
      <w:pPr>
        <w:spacing w:after="0"/>
        <w:rPr>
          <w:rFonts w:cstheme="minorHAnsi"/>
          <w:i/>
          <w:color w:val="333333"/>
        </w:rPr>
      </w:pPr>
    </w:p>
    <w:p w:rsidR="00B4443C" w:rsidRDefault="00715242" w:rsidP="00F15BEE">
      <w:pPr>
        <w:pStyle w:val="ListParagraph"/>
        <w:numPr>
          <w:ilvl w:val="0"/>
          <w:numId w:val="1"/>
        </w:numPr>
      </w:pPr>
      <w:r>
        <w:t>Investment Process</w:t>
      </w:r>
    </w:p>
    <w:p w:rsidR="00997F1A" w:rsidRDefault="00715242" w:rsidP="00F15BEE">
      <w:pPr>
        <w:pStyle w:val="ListParagraph"/>
        <w:numPr>
          <w:ilvl w:val="1"/>
          <w:numId w:val="1"/>
        </w:numPr>
      </w:pPr>
      <w:r>
        <w:t>Global Reach</w:t>
      </w:r>
    </w:p>
    <w:p w:rsidR="00715242" w:rsidRDefault="00715242" w:rsidP="00F15BEE">
      <w:pPr>
        <w:pStyle w:val="ListParagraph"/>
        <w:numPr>
          <w:ilvl w:val="1"/>
          <w:numId w:val="1"/>
        </w:numPr>
      </w:pPr>
      <w:r>
        <w:t>Independent research (stock pickers)</w:t>
      </w:r>
    </w:p>
    <w:p w:rsidR="00715242" w:rsidRDefault="00715242" w:rsidP="00F15BEE">
      <w:pPr>
        <w:pStyle w:val="ListParagraph"/>
        <w:numPr>
          <w:ilvl w:val="1"/>
          <w:numId w:val="1"/>
        </w:numPr>
      </w:pPr>
      <w:r>
        <w:t>Concentrated (10-20 positions)</w:t>
      </w:r>
    </w:p>
    <w:p w:rsidR="00715242" w:rsidRDefault="00715242" w:rsidP="00F15BEE">
      <w:pPr>
        <w:pStyle w:val="ListParagraph"/>
        <w:numPr>
          <w:ilvl w:val="1"/>
          <w:numId w:val="1"/>
        </w:numPr>
      </w:pPr>
      <w:r>
        <w:t>Unconstrained (sector, size, arbitrage, distressed debt)</w:t>
      </w:r>
    </w:p>
    <w:p w:rsidR="00715242" w:rsidRDefault="00715242" w:rsidP="00F15BEE">
      <w:pPr>
        <w:pStyle w:val="ListParagraph"/>
        <w:numPr>
          <w:ilvl w:val="1"/>
          <w:numId w:val="1"/>
        </w:numPr>
      </w:pPr>
      <w:r>
        <w:t>Absolute return focus</w:t>
      </w:r>
    </w:p>
    <w:p w:rsidR="00715242" w:rsidRDefault="00715242" w:rsidP="00F15BEE">
      <w:pPr>
        <w:pStyle w:val="ListParagraph"/>
        <w:numPr>
          <w:ilvl w:val="1"/>
          <w:numId w:val="1"/>
        </w:numPr>
      </w:pPr>
      <w:r>
        <w:t>Long term horizon (10 years)</w:t>
      </w:r>
    </w:p>
    <w:p w:rsidR="00715242" w:rsidRDefault="00715242" w:rsidP="00715242">
      <w:pPr>
        <w:pStyle w:val="ListParagraph"/>
        <w:numPr>
          <w:ilvl w:val="0"/>
          <w:numId w:val="1"/>
        </w:numPr>
      </w:pPr>
      <w:r>
        <w:t>Main emphasis on long term holdings</w:t>
      </w:r>
    </w:p>
    <w:p w:rsidR="00AE43AC" w:rsidRDefault="00715242" w:rsidP="00AE43AC">
      <w:pPr>
        <w:pStyle w:val="ListParagraph"/>
        <w:numPr>
          <w:ilvl w:val="0"/>
          <w:numId w:val="1"/>
        </w:numPr>
      </w:pPr>
      <w:r>
        <w:t>Se</w:t>
      </w:r>
      <w:r w:rsidR="00AE43AC">
        <w:t>condary emphasis on arbitrage, high yield, cash</w:t>
      </w:r>
    </w:p>
    <w:p w:rsidR="00AE43AC" w:rsidRDefault="00AE43AC" w:rsidP="00AE43AC">
      <w:pPr>
        <w:pStyle w:val="ListParagraph"/>
      </w:pPr>
    </w:p>
    <w:p w:rsidR="00AE43AC" w:rsidRDefault="00AE43AC" w:rsidP="00AE43AC">
      <w:pPr>
        <w:pStyle w:val="ListParagraph"/>
        <w:numPr>
          <w:ilvl w:val="0"/>
          <w:numId w:val="1"/>
        </w:numPr>
      </w:pPr>
      <w:r>
        <w:t>Long Term Holdings</w:t>
      </w:r>
    </w:p>
    <w:p w:rsidR="00AE43AC" w:rsidRDefault="00AE43AC" w:rsidP="00AE43AC">
      <w:pPr>
        <w:pStyle w:val="ListParagraph"/>
        <w:numPr>
          <w:ilvl w:val="1"/>
          <w:numId w:val="1"/>
        </w:numPr>
      </w:pPr>
      <w:r>
        <w:t>Cigar Butts &amp; Good Businesses (Buffett/Munger)</w:t>
      </w:r>
    </w:p>
    <w:p w:rsidR="00AE43AC" w:rsidRDefault="00AE43AC" w:rsidP="00AE43AC">
      <w:pPr>
        <w:pStyle w:val="ListParagraph"/>
        <w:numPr>
          <w:ilvl w:val="2"/>
          <w:numId w:val="1"/>
        </w:numPr>
      </w:pPr>
      <w:r>
        <w:t>Outstanding business economy?</w:t>
      </w:r>
    </w:p>
    <w:p w:rsidR="00AE43AC" w:rsidRDefault="00AE43AC" w:rsidP="00AE43AC">
      <w:pPr>
        <w:pStyle w:val="ListParagraph"/>
        <w:numPr>
          <w:ilvl w:val="2"/>
          <w:numId w:val="1"/>
        </w:numPr>
      </w:pPr>
      <w:r>
        <w:t>Honest &amp; capable management?</w:t>
      </w:r>
    </w:p>
    <w:p w:rsidR="00AE43AC" w:rsidRDefault="00AE43AC" w:rsidP="00AE43AC">
      <w:pPr>
        <w:pStyle w:val="ListParagraph"/>
        <w:numPr>
          <w:ilvl w:val="2"/>
          <w:numId w:val="1"/>
        </w:numPr>
      </w:pPr>
      <w:r>
        <w:t>Attractive price?</w:t>
      </w:r>
    </w:p>
    <w:p w:rsidR="00AE43AC" w:rsidRDefault="00447210" w:rsidP="00AE43AC">
      <w:pPr>
        <w:pStyle w:val="ListParagraph"/>
        <w:numPr>
          <w:ilvl w:val="2"/>
          <w:numId w:val="1"/>
        </w:numPr>
      </w:pPr>
      <w:r>
        <w:t>“Great people, Great business, Great price”</w:t>
      </w:r>
    </w:p>
    <w:p w:rsidR="00447210" w:rsidRDefault="00447210" w:rsidP="00447210">
      <w:pPr>
        <w:pStyle w:val="ListParagraph"/>
        <w:ind w:left="2160"/>
      </w:pPr>
    </w:p>
    <w:p w:rsidR="00022DF3" w:rsidRDefault="00447210" w:rsidP="00447210">
      <w:pPr>
        <w:pStyle w:val="ListParagraph"/>
        <w:numPr>
          <w:ilvl w:val="0"/>
          <w:numId w:val="1"/>
        </w:numPr>
      </w:pPr>
      <w:r>
        <w:t>Example Reckitt Benckiser Group</w:t>
      </w:r>
      <w:r w:rsidR="0011452B">
        <w:t xml:space="preserve"> (RB) United Kingdom</w:t>
      </w:r>
    </w:p>
    <w:p w:rsidR="00F15BEE" w:rsidRDefault="0011452B" w:rsidP="0011452B">
      <w:pPr>
        <w:pStyle w:val="ListParagraph"/>
        <w:numPr>
          <w:ilvl w:val="1"/>
          <w:numId w:val="1"/>
        </w:numPr>
      </w:pPr>
      <w:r>
        <w:t>Non-Core holdings (Frank’s Hot Dogs &amp; French’s Mustard) potential spinoff/sell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Hi ROE 30%+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Strong Balance Sheet $6B equity/$1.7B debt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Attractive Operating &amp; Net Margins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Significant brand recognition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Growing revenues &amp; earnings power over time (double digits)</w:t>
      </w:r>
    </w:p>
    <w:p w:rsidR="005A3DE4" w:rsidRDefault="0011452B" w:rsidP="005A3DE4">
      <w:pPr>
        <w:pStyle w:val="ListParagraph"/>
        <w:numPr>
          <w:ilvl w:val="1"/>
          <w:numId w:val="1"/>
        </w:numPr>
      </w:pPr>
      <w:r>
        <w:t>Consistent FCF generation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Solid record since merger in 1999</w:t>
      </w:r>
    </w:p>
    <w:p w:rsidR="0011452B" w:rsidRDefault="0011452B" w:rsidP="0011452B">
      <w:pPr>
        <w:pStyle w:val="ListParagraph"/>
        <w:numPr>
          <w:ilvl w:val="2"/>
          <w:numId w:val="1"/>
        </w:numPr>
      </w:pPr>
      <w:r>
        <w:t>Revenue $3B to $9B (10% CAGR)</w:t>
      </w:r>
    </w:p>
    <w:p w:rsidR="0011452B" w:rsidRDefault="0011452B" w:rsidP="0011452B">
      <w:pPr>
        <w:pStyle w:val="ListParagraph"/>
        <w:numPr>
          <w:ilvl w:val="2"/>
          <w:numId w:val="1"/>
        </w:numPr>
      </w:pPr>
      <w:r>
        <w:t>Net Income $200M to $1.8B (20% CAGR)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Solid Brands – Five #1’s worldwide</w:t>
      </w:r>
    </w:p>
    <w:p w:rsidR="0011452B" w:rsidRDefault="0011452B" w:rsidP="0011452B">
      <w:pPr>
        <w:pStyle w:val="ListParagraph"/>
        <w:numPr>
          <w:ilvl w:val="1"/>
          <w:numId w:val="1"/>
        </w:numPr>
      </w:pPr>
      <w:r>
        <w:t>Management</w:t>
      </w:r>
    </w:p>
    <w:p w:rsidR="0011452B" w:rsidRDefault="005A3DE4" w:rsidP="0011452B">
      <w:pPr>
        <w:pStyle w:val="ListParagraph"/>
        <w:numPr>
          <w:ilvl w:val="2"/>
          <w:numId w:val="1"/>
        </w:numPr>
      </w:pPr>
      <w:r>
        <w:t>Rakeesh Kapoor new CEO after Bart Becht stepped down in the past year</w:t>
      </w:r>
    </w:p>
    <w:p w:rsidR="005A3DE4" w:rsidRPr="005A3DE4" w:rsidRDefault="005A3DE4" w:rsidP="00F15BEE">
      <w:pPr>
        <w:pStyle w:val="ListParagraph"/>
        <w:numPr>
          <w:ilvl w:val="2"/>
          <w:numId w:val="1"/>
        </w:numPr>
      </w:pPr>
      <w:r>
        <w:t xml:space="preserve">Management required to own certain amount of shares (over </w:t>
      </w:r>
      <w:r>
        <w:rPr>
          <w:rFonts w:cstheme="minorHAnsi"/>
        </w:rPr>
        <w:t>£100M currently)</w:t>
      </w:r>
    </w:p>
    <w:p w:rsidR="005A3DE4" w:rsidRPr="005A3DE4" w:rsidRDefault="005A3DE4" w:rsidP="00F15BEE">
      <w:pPr>
        <w:pStyle w:val="ListParagraph"/>
        <w:numPr>
          <w:ilvl w:val="2"/>
          <w:numId w:val="1"/>
        </w:numPr>
      </w:pPr>
      <w:r>
        <w:rPr>
          <w:rFonts w:cstheme="minorHAnsi"/>
        </w:rPr>
        <w:t>Incentives linked to tangible performance targets based on EPS growth</w:t>
      </w:r>
    </w:p>
    <w:p w:rsidR="00022DF3" w:rsidRPr="005A3DE4" w:rsidRDefault="005A3DE4" w:rsidP="005A3DE4">
      <w:pPr>
        <w:pStyle w:val="ListParagraph"/>
        <w:numPr>
          <w:ilvl w:val="1"/>
          <w:numId w:val="1"/>
        </w:numPr>
      </w:pPr>
      <w:r>
        <w:t xml:space="preserve"> Price - </w:t>
      </w:r>
      <w:r>
        <w:rPr>
          <w:rFonts w:cstheme="minorHAnsi"/>
        </w:rPr>
        <w:t>£31 March 2011</w:t>
      </w:r>
    </w:p>
    <w:p w:rsidR="005A3DE4" w:rsidRPr="005A3DE4" w:rsidRDefault="005A3DE4" w:rsidP="005A3DE4">
      <w:pPr>
        <w:pStyle w:val="ListParagraph"/>
        <w:numPr>
          <w:ilvl w:val="2"/>
          <w:numId w:val="1"/>
        </w:numPr>
      </w:pPr>
      <w:r>
        <w:rPr>
          <w:rFonts w:cstheme="minorHAnsi"/>
        </w:rPr>
        <w:lastRenderedPageBreak/>
        <w:t>P/E 12.5x after adjustments for acquisition</w:t>
      </w:r>
    </w:p>
    <w:p w:rsidR="005A3DE4" w:rsidRPr="005A3DE4" w:rsidRDefault="005A3DE4" w:rsidP="005A3DE4">
      <w:pPr>
        <w:pStyle w:val="ListParagraph"/>
        <w:numPr>
          <w:ilvl w:val="2"/>
          <w:numId w:val="1"/>
        </w:numPr>
      </w:pPr>
      <w:r>
        <w:rPr>
          <w:rFonts w:cstheme="minorHAnsi"/>
        </w:rPr>
        <w:t>Dividend yield 3.7%</w:t>
      </w:r>
    </w:p>
    <w:p w:rsidR="005A3DE4" w:rsidRPr="005A3DE4" w:rsidRDefault="005A3DE4" w:rsidP="005A3DE4">
      <w:pPr>
        <w:pStyle w:val="ListParagraph"/>
        <w:numPr>
          <w:ilvl w:val="2"/>
          <w:numId w:val="1"/>
        </w:numPr>
      </w:pPr>
      <w:r>
        <w:rPr>
          <w:rFonts w:cstheme="minorHAnsi"/>
        </w:rPr>
        <w:t>Substantial Food &amp; Pharma Businesses that were non-core</w:t>
      </w:r>
    </w:p>
    <w:p w:rsidR="005A3DE4" w:rsidRPr="005A3DE4" w:rsidRDefault="00790487" w:rsidP="005A3DE4">
      <w:pPr>
        <w:pStyle w:val="ListParagraph"/>
        <w:numPr>
          <w:ilvl w:val="2"/>
          <w:numId w:val="1"/>
        </w:numPr>
      </w:pPr>
      <w:r>
        <w:rPr>
          <w:rFonts w:cstheme="minorHAnsi"/>
        </w:rPr>
        <w:t>Buy opportunity – down 16% in 3 months</w:t>
      </w:r>
    </w:p>
    <w:p w:rsidR="005A3DE4" w:rsidRDefault="005A3DE4" w:rsidP="00790487">
      <w:pPr>
        <w:pStyle w:val="ListParagraph"/>
        <w:ind w:left="2160"/>
      </w:pPr>
    </w:p>
    <w:p w:rsidR="00F15BEE" w:rsidRDefault="00790487" w:rsidP="00F15BEE">
      <w:pPr>
        <w:pStyle w:val="ListParagraph"/>
        <w:numPr>
          <w:ilvl w:val="0"/>
          <w:numId w:val="1"/>
        </w:numPr>
      </w:pPr>
      <w:r>
        <w:t>Risks</w:t>
      </w:r>
    </w:p>
    <w:p w:rsidR="00F15BEE" w:rsidRDefault="00790487" w:rsidP="00F15BEE">
      <w:pPr>
        <w:pStyle w:val="ListParagraph"/>
        <w:numPr>
          <w:ilvl w:val="1"/>
          <w:numId w:val="1"/>
        </w:numPr>
      </w:pPr>
      <w:r>
        <w:t>Raw material cost increase</w:t>
      </w:r>
    </w:p>
    <w:p w:rsidR="00790487" w:rsidRDefault="00790487" w:rsidP="00F15BEE">
      <w:pPr>
        <w:pStyle w:val="ListParagraph"/>
        <w:numPr>
          <w:ilvl w:val="1"/>
          <w:numId w:val="1"/>
        </w:numPr>
      </w:pPr>
      <w:r>
        <w:t>Retailer consolidation</w:t>
      </w:r>
    </w:p>
    <w:p w:rsidR="00790487" w:rsidRDefault="00790487" w:rsidP="00F15BEE">
      <w:pPr>
        <w:pStyle w:val="ListParagraph"/>
        <w:numPr>
          <w:ilvl w:val="1"/>
          <w:numId w:val="1"/>
        </w:numPr>
      </w:pPr>
      <w:r>
        <w:t>Private label products (steady at 20% of category)</w:t>
      </w:r>
    </w:p>
    <w:p w:rsidR="00790487" w:rsidRDefault="00790487" w:rsidP="00F15BEE">
      <w:pPr>
        <w:pStyle w:val="ListParagraph"/>
        <w:numPr>
          <w:ilvl w:val="1"/>
          <w:numId w:val="1"/>
        </w:numPr>
      </w:pPr>
      <w:r>
        <w:t>Margin expansion (continue?) – believe room in emerging markets</w:t>
      </w:r>
    </w:p>
    <w:p w:rsidR="00F15BEE" w:rsidRDefault="00790487" w:rsidP="00790487">
      <w:pPr>
        <w:pStyle w:val="ListParagraph"/>
        <w:numPr>
          <w:ilvl w:val="1"/>
          <w:numId w:val="1"/>
        </w:numPr>
      </w:pPr>
      <w:r>
        <w:t>Ability to scale globally</w:t>
      </w:r>
    </w:p>
    <w:p w:rsidR="00790487" w:rsidRDefault="00BA5366" w:rsidP="00BA5366">
      <w:pPr>
        <w:pStyle w:val="ListParagraph"/>
        <w:numPr>
          <w:ilvl w:val="1"/>
          <w:numId w:val="1"/>
        </w:numPr>
      </w:pPr>
      <w:r>
        <w:t>Generic competition in Pharma business</w:t>
      </w:r>
    </w:p>
    <w:p w:rsidR="00F15BEE" w:rsidRDefault="00F15BEE" w:rsidP="00F15BEE">
      <w:pPr>
        <w:pStyle w:val="ListParagraph"/>
        <w:ind w:left="2160"/>
      </w:pPr>
    </w:p>
    <w:p w:rsidR="00B4443C" w:rsidRDefault="00BA5366" w:rsidP="00F15BEE">
      <w:pPr>
        <w:pStyle w:val="ListParagraph"/>
        <w:numPr>
          <w:ilvl w:val="0"/>
          <w:numId w:val="1"/>
        </w:numPr>
      </w:pPr>
      <w:r>
        <w:t>Q&amp;A</w:t>
      </w:r>
    </w:p>
    <w:p w:rsidR="00B4443C" w:rsidRDefault="00BA5366" w:rsidP="001F0F76">
      <w:pPr>
        <w:pStyle w:val="ListParagraph"/>
        <w:numPr>
          <w:ilvl w:val="1"/>
          <w:numId w:val="1"/>
        </w:numPr>
      </w:pPr>
      <w:r>
        <w:t>Risk with Canada &amp; currencies?</w:t>
      </w:r>
    </w:p>
    <w:p w:rsidR="00BA5366" w:rsidRDefault="00BA5366" w:rsidP="00BA5366">
      <w:pPr>
        <w:pStyle w:val="ListParagraph"/>
        <w:numPr>
          <w:ilvl w:val="2"/>
          <w:numId w:val="1"/>
        </w:numPr>
      </w:pPr>
      <w:r>
        <w:t>Yes, Canada dollar high &amp; has hurt for 5 years</w:t>
      </w:r>
    </w:p>
    <w:p w:rsidR="00BA5366" w:rsidRDefault="00BA5366" w:rsidP="00BA5366">
      <w:pPr>
        <w:pStyle w:val="ListParagraph"/>
        <w:numPr>
          <w:ilvl w:val="1"/>
          <w:numId w:val="1"/>
        </w:numPr>
      </w:pPr>
      <w:r>
        <w:t>R&amp;D component?</w:t>
      </w:r>
    </w:p>
    <w:p w:rsidR="00BA5366" w:rsidRDefault="00BA5366" w:rsidP="00BA5366">
      <w:pPr>
        <w:pStyle w:val="ListParagraph"/>
        <w:numPr>
          <w:ilvl w:val="2"/>
          <w:numId w:val="1"/>
        </w:numPr>
      </w:pPr>
      <w:r>
        <w:t>More in system innovations than in new product development</w:t>
      </w:r>
    </w:p>
    <w:p w:rsidR="00F15BEE" w:rsidRDefault="00BA5366" w:rsidP="001F0F76">
      <w:pPr>
        <w:pStyle w:val="ListParagraph"/>
        <w:numPr>
          <w:ilvl w:val="1"/>
          <w:numId w:val="1"/>
        </w:numPr>
      </w:pPr>
      <w:r>
        <w:t>Evaluating attractive vs. unattractive: tipping point?</w:t>
      </w:r>
    </w:p>
    <w:p w:rsidR="00BA5366" w:rsidRDefault="00BA5366" w:rsidP="00BA5366">
      <w:pPr>
        <w:pStyle w:val="ListParagraph"/>
        <w:numPr>
          <w:ilvl w:val="2"/>
          <w:numId w:val="1"/>
        </w:numPr>
      </w:pPr>
      <w:r>
        <w:t>Estimate fair value &amp; look for more appealing options</w:t>
      </w:r>
    </w:p>
    <w:p w:rsidR="00CD5E2E" w:rsidRDefault="00BA5366" w:rsidP="00BA5366">
      <w:pPr>
        <w:pStyle w:val="ListParagraph"/>
        <w:numPr>
          <w:ilvl w:val="2"/>
          <w:numId w:val="1"/>
        </w:numPr>
      </w:pPr>
      <w:r>
        <w:t>Not exact – part art</w:t>
      </w:r>
    </w:p>
    <w:sectPr w:rsidR="00CD5E2E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EF" w:rsidRDefault="003813EF" w:rsidP="005A3DE4">
      <w:pPr>
        <w:spacing w:after="0" w:line="240" w:lineRule="auto"/>
      </w:pPr>
      <w:r>
        <w:separator/>
      </w:r>
    </w:p>
  </w:endnote>
  <w:endnote w:type="continuationSeparator" w:id="0">
    <w:p w:rsidR="003813EF" w:rsidRDefault="003813EF" w:rsidP="005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84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7DB3" w:rsidRDefault="00C77D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C77DB3">
          <w:rPr>
            <w:color w:val="808080" w:themeColor="background1" w:themeShade="80"/>
            <w:spacing w:val="60"/>
          </w:rPr>
          <w:t>Page</w:t>
        </w:r>
      </w:p>
    </w:sdtContent>
  </w:sdt>
  <w:p w:rsidR="00C77DB3" w:rsidRDefault="00C7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EF" w:rsidRDefault="003813EF" w:rsidP="005A3DE4">
      <w:pPr>
        <w:spacing w:after="0" w:line="240" w:lineRule="auto"/>
      </w:pPr>
      <w:r>
        <w:separator/>
      </w:r>
    </w:p>
  </w:footnote>
  <w:footnote w:type="continuationSeparator" w:id="0">
    <w:p w:rsidR="003813EF" w:rsidRDefault="003813EF" w:rsidP="005A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1A90130587434D4B9E1219752FEC8A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7DB3" w:rsidRDefault="00C77D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7DB3">
          <w:rPr>
            <w:b/>
          </w:rPr>
          <w:t>Jeff Stacey, Stacey Muirhead Capital – Global Value Investing</w:t>
        </w:r>
      </w:p>
    </w:sdtContent>
  </w:sdt>
  <w:p w:rsidR="00C77DB3" w:rsidRDefault="00C7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FE5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11452B"/>
    <w:rsid w:val="00136612"/>
    <w:rsid w:val="00154A9C"/>
    <w:rsid w:val="001B578A"/>
    <w:rsid w:val="001F0F76"/>
    <w:rsid w:val="002E2AC5"/>
    <w:rsid w:val="00345698"/>
    <w:rsid w:val="003813EF"/>
    <w:rsid w:val="00447210"/>
    <w:rsid w:val="004B2A95"/>
    <w:rsid w:val="004B6F01"/>
    <w:rsid w:val="004F291E"/>
    <w:rsid w:val="00524101"/>
    <w:rsid w:val="00555F27"/>
    <w:rsid w:val="005A3DE4"/>
    <w:rsid w:val="005B23E7"/>
    <w:rsid w:val="005C21D3"/>
    <w:rsid w:val="006002EB"/>
    <w:rsid w:val="00625C45"/>
    <w:rsid w:val="0063683F"/>
    <w:rsid w:val="00664FD4"/>
    <w:rsid w:val="006B4D69"/>
    <w:rsid w:val="00712D08"/>
    <w:rsid w:val="00715242"/>
    <w:rsid w:val="007338F3"/>
    <w:rsid w:val="00790487"/>
    <w:rsid w:val="007E40F2"/>
    <w:rsid w:val="007E6999"/>
    <w:rsid w:val="008265AB"/>
    <w:rsid w:val="00895AD3"/>
    <w:rsid w:val="008D305D"/>
    <w:rsid w:val="0090398C"/>
    <w:rsid w:val="009256FA"/>
    <w:rsid w:val="00997F1A"/>
    <w:rsid w:val="00AE43AC"/>
    <w:rsid w:val="00AF7F2F"/>
    <w:rsid w:val="00B0121D"/>
    <w:rsid w:val="00B4443C"/>
    <w:rsid w:val="00B61F88"/>
    <w:rsid w:val="00BA346A"/>
    <w:rsid w:val="00BA5366"/>
    <w:rsid w:val="00BB071B"/>
    <w:rsid w:val="00BC3F99"/>
    <w:rsid w:val="00BD1E5D"/>
    <w:rsid w:val="00C373AC"/>
    <w:rsid w:val="00C5075A"/>
    <w:rsid w:val="00C77DB3"/>
    <w:rsid w:val="00CD5E2E"/>
    <w:rsid w:val="00D026B9"/>
    <w:rsid w:val="00D31F66"/>
    <w:rsid w:val="00D63949"/>
    <w:rsid w:val="00E52C3E"/>
    <w:rsid w:val="00E55581"/>
    <w:rsid w:val="00F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A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E4"/>
  </w:style>
  <w:style w:type="paragraph" w:styleId="Footer">
    <w:name w:val="footer"/>
    <w:basedOn w:val="Normal"/>
    <w:link w:val="FooterChar"/>
    <w:uiPriority w:val="99"/>
    <w:unhideWhenUsed/>
    <w:rsid w:val="005A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A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E4"/>
  </w:style>
  <w:style w:type="paragraph" w:styleId="Footer">
    <w:name w:val="footer"/>
    <w:basedOn w:val="Normal"/>
    <w:link w:val="FooterChar"/>
    <w:uiPriority w:val="99"/>
    <w:unhideWhenUsed/>
    <w:rsid w:val="005A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0130587434D4B9E1219752FE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31C-5EA1-4782-B7C2-ECB02F487916}"/>
      </w:docPartPr>
      <w:docPartBody>
        <w:p w:rsidR="00000000" w:rsidRDefault="00B60856" w:rsidP="00B60856">
          <w:pPr>
            <w:pStyle w:val="1A90130587434D4B9E1219752FEC8A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6"/>
    <w:rsid w:val="00B60856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0130587434D4B9E1219752FEC8A4C">
    <w:name w:val="1A90130587434D4B9E1219752FEC8A4C"/>
    <w:rsid w:val="00B608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0130587434D4B9E1219752FEC8A4C">
    <w:name w:val="1A90130587434D4B9E1219752FEC8A4C"/>
    <w:rsid w:val="00B60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ECD7-E6EA-4BEE-8FB9-E4172B73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Stacey, Stacey Muirhead Capital – Global Value Investing</dc:title>
  <dc:creator>SCP</dc:creator>
  <cp:lastModifiedBy>john</cp:lastModifiedBy>
  <cp:revision>2</cp:revision>
  <cp:lastPrinted>2012-05-08T16:12:00Z</cp:lastPrinted>
  <dcterms:created xsi:type="dcterms:W3CDTF">2012-05-08T16:13:00Z</dcterms:created>
  <dcterms:modified xsi:type="dcterms:W3CDTF">2012-05-08T16:13:00Z</dcterms:modified>
</cp:coreProperties>
</file>